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sz w:val="28"/>
          <w:szCs w:val="28"/>
        </w:rPr>
      </w:pPr>
      <w:r>
        <w:rPr>
          <w:rFonts w:hint="eastAsia" w:ascii="方正小标宋简体" w:eastAsia="方正小标宋简体"/>
          <w:sz w:val="28"/>
          <w:szCs w:val="28"/>
        </w:rPr>
        <w:t>铜陵有色集团突出生态环境问题</w:t>
      </w:r>
      <w:r>
        <w:rPr>
          <w:rFonts w:hint="eastAsia" w:ascii="方正小标宋简体" w:hAnsi="宋体" w:eastAsia="方正小标宋简体"/>
          <w:sz w:val="28"/>
          <w:szCs w:val="28"/>
        </w:rPr>
        <w:t>整改情况信息公开表</w:t>
      </w:r>
    </w:p>
    <w:p>
      <w:pPr>
        <w:jc w:val="center"/>
        <w:rPr>
          <w:rFonts w:ascii="方正小标宋简体" w:hAnsi="宋体" w:eastAsia="方正小标宋简体"/>
          <w:sz w:val="28"/>
          <w:szCs w:val="28"/>
        </w:rPr>
      </w:pPr>
      <w:r>
        <w:rPr>
          <w:rFonts w:hint="eastAsia" w:ascii="方正小标宋简体" w:hAnsi="宋体" w:eastAsia="方正小标宋简体"/>
          <w:sz w:val="28"/>
          <w:szCs w:val="28"/>
        </w:rPr>
        <w:t>（第</w:t>
      </w:r>
      <w:r>
        <w:rPr>
          <w:rFonts w:hint="eastAsia" w:ascii="方正小标宋简体" w:hAnsi="宋体" w:eastAsia="方正小标宋简体"/>
          <w:sz w:val="28"/>
          <w:szCs w:val="28"/>
          <w:lang w:val="en-US" w:eastAsia="zh-CN"/>
        </w:rPr>
        <w:t>15</w:t>
      </w:r>
      <w:r>
        <w:rPr>
          <w:rFonts w:hint="eastAsia" w:ascii="方正小标宋简体" w:hAnsi="宋体" w:eastAsia="方正小标宋简体"/>
          <w:sz w:val="28"/>
          <w:szCs w:val="28"/>
        </w:rPr>
        <w:t>、</w:t>
      </w:r>
      <w:r>
        <w:rPr>
          <w:rFonts w:hint="eastAsia" w:ascii="方正小标宋简体" w:hAnsi="宋体" w:eastAsia="方正小标宋简体"/>
          <w:sz w:val="28"/>
          <w:szCs w:val="28"/>
          <w:lang w:val="en-US" w:eastAsia="zh-CN"/>
        </w:rPr>
        <w:t>28</w:t>
      </w:r>
      <w:r>
        <w:rPr>
          <w:rFonts w:hint="eastAsia" w:ascii="方正小标宋简体" w:hAnsi="宋体" w:eastAsia="方正小标宋简体"/>
          <w:sz w:val="28"/>
          <w:szCs w:val="28"/>
        </w:rPr>
        <w:t>号）</w:t>
      </w:r>
    </w:p>
    <w:p>
      <w:pPr>
        <w:spacing w:line="480" w:lineRule="auto"/>
        <w:ind w:right="-210" w:rightChars="-100" w:firstLine="600" w:firstLineChars="200"/>
        <w:jc w:val="left"/>
      </w:pPr>
      <w:r>
        <w:rPr>
          <w:rFonts w:hint="eastAsia" w:ascii="仿宋" w:hAnsi="仿宋" w:eastAsia="仿宋"/>
          <w:sz w:val="30"/>
          <w:szCs w:val="30"/>
        </w:rPr>
        <w:t>根据铜陵有色集团突出生态环境问题整改验收销号管理要求，现将</w:t>
      </w:r>
      <w:r>
        <w:rPr>
          <w:rFonts w:hint="eastAsia" w:ascii="仿宋" w:hAnsi="仿宋" w:eastAsia="仿宋" w:cs="宋体"/>
          <w:kern w:val="0"/>
          <w:sz w:val="30"/>
          <w:szCs w:val="30"/>
        </w:rPr>
        <w:t>整改落实情况予以信息公开：</w:t>
      </w:r>
    </w:p>
    <w:tbl>
      <w:tblPr>
        <w:tblStyle w:val="7"/>
        <w:tblpPr w:leftFromText="180" w:rightFromText="180" w:vertAnchor="text" w:horzAnchor="margin" w:tblpY="288"/>
        <w:tblW w:w="5000" w:type="pct"/>
        <w:tblInd w:w="0" w:type="dxa"/>
        <w:tblLayout w:type="autofit"/>
        <w:tblCellMar>
          <w:top w:w="0" w:type="dxa"/>
          <w:left w:w="108" w:type="dxa"/>
          <w:bottom w:w="0" w:type="dxa"/>
          <w:right w:w="108" w:type="dxa"/>
        </w:tblCellMar>
      </w:tblPr>
      <w:tblGrid>
        <w:gridCol w:w="938"/>
        <w:gridCol w:w="2356"/>
        <w:gridCol w:w="2021"/>
        <w:gridCol w:w="1329"/>
        <w:gridCol w:w="891"/>
        <w:gridCol w:w="6685"/>
      </w:tblGrid>
      <w:tr>
        <w:tblPrEx>
          <w:tblCellMar>
            <w:top w:w="0" w:type="dxa"/>
            <w:left w:w="108" w:type="dxa"/>
            <w:bottom w:w="0" w:type="dxa"/>
            <w:right w:w="108" w:type="dxa"/>
          </w:tblCellMar>
        </w:tblPrEx>
        <w:trPr>
          <w:trHeight w:val="413" w:hRule="atLeast"/>
        </w:trPr>
        <w:tc>
          <w:tcPr>
            <w:tcW w:w="33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问题编号</w:t>
            </w:r>
          </w:p>
        </w:tc>
        <w:tc>
          <w:tcPr>
            <w:tcW w:w="828" w:type="pct"/>
            <w:tcBorders>
              <w:top w:val="single" w:color="auto" w:sz="4" w:space="0"/>
              <w:left w:val="nil"/>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问题内容</w:t>
            </w:r>
          </w:p>
        </w:tc>
        <w:tc>
          <w:tcPr>
            <w:tcW w:w="710"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整改标准、措施和时限</w:t>
            </w:r>
          </w:p>
        </w:tc>
        <w:tc>
          <w:tcPr>
            <w:tcW w:w="467"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责任单位</w:t>
            </w:r>
          </w:p>
        </w:tc>
        <w:tc>
          <w:tcPr>
            <w:tcW w:w="313"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责任人</w:t>
            </w:r>
          </w:p>
        </w:tc>
        <w:tc>
          <w:tcPr>
            <w:tcW w:w="2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完成情况</w:t>
            </w:r>
          </w:p>
        </w:tc>
      </w:tr>
      <w:tr>
        <w:tblPrEx>
          <w:tblCellMar>
            <w:top w:w="0" w:type="dxa"/>
            <w:left w:w="108" w:type="dxa"/>
            <w:bottom w:w="0" w:type="dxa"/>
            <w:right w:w="108" w:type="dxa"/>
          </w:tblCellMar>
        </w:tblPrEx>
        <w:trPr>
          <w:trHeight w:val="988" w:hRule="atLeast"/>
        </w:trPr>
        <w:tc>
          <w:tcPr>
            <w:tcW w:w="33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15</w:t>
            </w:r>
          </w:p>
        </w:tc>
        <w:tc>
          <w:tcPr>
            <w:tcW w:w="828" w:type="pct"/>
            <w:tcBorders>
              <w:top w:val="single" w:color="auto" w:sz="4" w:space="0"/>
              <w:left w:val="nil"/>
              <w:bottom w:val="single" w:color="auto" w:sz="4" w:space="0"/>
              <w:right w:val="single" w:color="auto" w:sz="4" w:space="0"/>
            </w:tcBorders>
            <w:vAlign w:val="center"/>
          </w:tcPr>
          <w:p>
            <w:pPr>
              <w:widowControl/>
              <w:spacing w:line="200" w:lineRule="exac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金隆铜业公司火法精炼技术改造项目环评要求，该公司新建的竖炉系统，只能回收利用企业内部的电解残极和不合格阳极板，并且需保持总生产能力（阴极铜年产能35万吨）不变，但该公司自2013年以来，共外购93.55万吨粗铜违规超产能生产，阴极铜年产量约46万吨，超批复产能30%。对于该重大变动，本应重新报批环评文件，金隆铜业公司既未履行相关手续，也未及时向集团公司报告。2018年，铜陵有色集团虽排查出金隆铜业公司产能不符问题，但之后以各种因素为由，将该问题搁置，不再跟踪督办，截至督察时，该新增产能仍未履行相关手续。</w:t>
            </w:r>
          </w:p>
        </w:tc>
        <w:tc>
          <w:tcPr>
            <w:tcW w:w="710" w:type="pct"/>
            <w:tcBorders>
              <w:top w:val="single" w:color="auto" w:sz="4" w:space="0"/>
              <w:left w:val="nil"/>
              <w:bottom w:val="single" w:color="auto" w:sz="4" w:space="0"/>
              <w:right w:val="single" w:color="auto" w:sz="4" w:space="0"/>
            </w:tcBorders>
            <w:vAlign w:val="center"/>
          </w:tcPr>
          <w:p>
            <w:pPr>
              <w:widowControl/>
              <w:spacing w:line="200" w:lineRule="exac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标准：</w:t>
            </w:r>
            <w:r>
              <w:rPr>
                <w:rFonts w:hint="eastAsia" w:cs="宋体" w:asciiTheme="minorEastAsia" w:hAnsiTheme="minorEastAsia" w:eastAsiaTheme="minorEastAsia"/>
                <w:color w:val="000000"/>
                <w:kern w:val="0"/>
                <w:sz w:val="18"/>
                <w:szCs w:val="18"/>
              </w:rPr>
              <w:t>满足依法合规生产要求，开展建设项目环境影响后评价。</w:t>
            </w:r>
          </w:p>
          <w:p>
            <w:pPr>
              <w:widowControl/>
              <w:spacing w:line="200" w:lineRule="exac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措施：</w:t>
            </w:r>
            <w:r>
              <w:rPr>
                <w:rFonts w:hint="eastAsia" w:cs="宋体" w:asciiTheme="minorEastAsia" w:hAnsiTheme="minorEastAsia" w:eastAsiaTheme="minorEastAsia"/>
                <w:color w:val="000000"/>
                <w:kern w:val="0"/>
                <w:sz w:val="18"/>
                <w:szCs w:val="18"/>
              </w:rPr>
              <w:t>分析现有产量来源，判断主要冶炼炉窑炉型、数量、规格是否发生变化，是否导致产能增加，将相关情况向安徽省生态环境厅和铜陵市生态环境局汇报并寻求解决途径。委托第三方技术咨询机构进行环境影响后评价，后评价报告编制完成后先经过专家评审，再报送安徽省生态环境厅备案。</w:t>
            </w:r>
          </w:p>
          <w:p>
            <w:pPr>
              <w:widowControl/>
              <w:spacing w:line="200" w:lineRule="exac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时限：</w:t>
            </w:r>
            <w:r>
              <w:rPr>
                <w:rFonts w:hint="eastAsia" w:cs="宋体" w:asciiTheme="minorEastAsia" w:hAnsiTheme="minorEastAsia" w:eastAsiaTheme="minorEastAsia"/>
                <w:color w:val="000000"/>
                <w:kern w:val="0"/>
                <w:sz w:val="18"/>
                <w:szCs w:val="18"/>
              </w:rPr>
              <w:t>2022年12月底前</w:t>
            </w:r>
          </w:p>
        </w:tc>
        <w:tc>
          <w:tcPr>
            <w:tcW w:w="467" w:type="pct"/>
            <w:tcBorders>
              <w:top w:val="single" w:color="auto" w:sz="4" w:space="0"/>
              <w:left w:val="nil"/>
              <w:bottom w:val="single" w:color="auto" w:sz="4" w:space="0"/>
              <w:right w:val="single" w:color="auto" w:sz="4" w:space="0"/>
            </w:tcBorders>
            <w:vAlign w:val="center"/>
          </w:tcPr>
          <w:p>
            <w:pPr>
              <w:widowControl/>
              <w:spacing w:line="200" w:lineRule="exact"/>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金隆铜业有限公司</w:t>
            </w:r>
          </w:p>
        </w:tc>
        <w:tc>
          <w:tcPr>
            <w:tcW w:w="313" w:type="pct"/>
            <w:tcBorders>
              <w:top w:val="single" w:color="auto" w:sz="4" w:space="0"/>
              <w:left w:val="nil"/>
              <w:bottom w:val="single" w:color="auto" w:sz="4" w:space="0"/>
              <w:right w:val="single" w:color="auto" w:sz="4" w:space="0"/>
            </w:tcBorders>
            <w:vAlign w:val="center"/>
          </w:tcPr>
          <w:p>
            <w:pPr>
              <w:widowControl/>
              <w:spacing w:line="200" w:lineRule="exact"/>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val="en-US" w:eastAsia="zh-CN"/>
              </w:rPr>
              <w:t>文燕</w:t>
            </w:r>
          </w:p>
        </w:tc>
        <w:tc>
          <w:tcPr>
            <w:tcW w:w="234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hint="default" w:cs="宋体" w:asciiTheme="minorEastAsia" w:hAnsiTheme="minorEastAsia" w:eastAsiaTheme="minorEastAsia"/>
                <w:color w:val="000000"/>
                <w:kern w:val="0"/>
                <w:sz w:val="18"/>
                <w:szCs w:val="18"/>
                <w:lang w:val="en-US"/>
              </w:rPr>
            </w:pPr>
            <w:r>
              <w:rPr>
                <w:rFonts w:hint="eastAsia" w:ascii="黑体" w:hAnsi="黑体" w:eastAsia="黑体"/>
                <w:szCs w:val="21"/>
                <w:lang w:val="en-US" w:eastAsia="zh-CN"/>
              </w:rPr>
              <w:t>完成公司《金隆铜冶炼系统工程环境影响后评价报告书》的编制，并于2022年9月20日完成在安徽省生态环境厅备案。</w:t>
            </w:r>
          </w:p>
        </w:tc>
      </w:tr>
      <w:tr>
        <w:tblPrEx>
          <w:tblCellMar>
            <w:top w:w="0" w:type="dxa"/>
            <w:left w:w="108" w:type="dxa"/>
            <w:bottom w:w="0" w:type="dxa"/>
            <w:right w:w="108" w:type="dxa"/>
          </w:tblCellMar>
        </w:tblPrEx>
        <w:trPr>
          <w:trHeight w:val="2800" w:hRule="atLeast"/>
        </w:trPr>
        <w:tc>
          <w:tcPr>
            <w:tcW w:w="330" w:type="pct"/>
            <w:tcBorders>
              <w:top w:val="single" w:color="auto" w:sz="4" w:space="0"/>
              <w:left w:val="single" w:color="auto" w:sz="4" w:space="0"/>
              <w:right w:val="single" w:color="auto" w:sz="4" w:space="0"/>
            </w:tcBorders>
            <w:vAlign w:val="center"/>
          </w:tcPr>
          <w:p>
            <w:pPr>
              <w:widowControl/>
              <w:spacing w:line="20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28</w:t>
            </w:r>
          </w:p>
        </w:tc>
        <w:tc>
          <w:tcPr>
            <w:tcW w:w="828" w:type="pct"/>
            <w:tcBorders>
              <w:top w:val="single" w:color="auto" w:sz="4" w:space="0"/>
              <w:left w:val="nil"/>
              <w:right w:val="single" w:color="auto" w:sz="4" w:space="0"/>
            </w:tcBorders>
            <w:vAlign w:val="center"/>
          </w:tcPr>
          <w:p>
            <w:pPr>
              <w:widowControl/>
              <w:spacing w:line="200" w:lineRule="exac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金隆铜业公司2018年土壤隐患排查及整改报告中明确要求，每年需开展土壤污染隐患排查，建立隐患排查档案，及时整治发现的隐患，并对土壤进行监测。督察发现，金隆铜业公司未按要求开展2019年和2020年土壤污染隐患排查工作。</w:t>
            </w:r>
          </w:p>
          <w:p>
            <w:pPr>
              <w:spacing w:line="200" w:lineRule="exact"/>
              <w:rPr>
                <w:rFonts w:asciiTheme="minorEastAsia" w:hAnsiTheme="minorEastAsia" w:eastAsiaTheme="minorEastAsia"/>
                <w:sz w:val="18"/>
                <w:szCs w:val="18"/>
              </w:rPr>
            </w:pPr>
          </w:p>
        </w:tc>
        <w:tc>
          <w:tcPr>
            <w:tcW w:w="710" w:type="pct"/>
            <w:tcBorders>
              <w:top w:val="single" w:color="auto" w:sz="4" w:space="0"/>
              <w:left w:val="nil"/>
              <w:right w:val="single" w:color="auto" w:sz="4" w:space="0"/>
            </w:tcBorders>
            <w:vAlign w:val="center"/>
          </w:tcPr>
          <w:p>
            <w:pPr>
              <w:spacing w:line="200" w:lineRule="exac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标准：</w:t>
            </w:r>
            <w:r>
              <w:rPr>
                <w:rFonts w:hint="eastAsia" w:cs="宋体" w:asciiTheme="minorEastAsia" w:hAnsiTheme="minorEastAsia" w:eastAsiaTheme="minorEastAsia"/>
                <w:color w:val="000000"/>
                <w:kern w:val="0"/>
                <w:sz w:val="18"/>
                <w:szCs w:val="18"/>
              </w:rPr>
              <w:t>金隆铜业有限公司根据《土壤隐患排查指南（试行）》等法律法规和规范性文件要求，开展土壤污染隐患排查并编制2021年度报告，并报送铜陵市生态环境局备案。</w:t>
            </w:r>
          </w:p>
          <w:p>
            <w:pPr>
              <w:spacing w:line="200" w:lineRule="exac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措施：</w:t>
            </w:r>
            <w:r>
              <w:rPr>
                <w:rFonts w:hint="eastAsia" w:cs="宋体" w:asciiTheme="minorEastAsia" w:hAnsiTheme="minorEastAsia" w:eastAsiaTheme="minorEastAsia"/>
                <w:color w:val="000000"/>
                <w:kern w:val="0"/>
                <w:sz w:val="18"/>
                <w:szCs w:val="18"/>
              </w:rPr>
              <w:t>按照规范性文件等要求开展土壤污染隐患排查工作，编制年度报告，进行信息公开。</w:t>
            </w:r>
          </w:p>
          <w:p>
            <w:pPr>
              <w:spacing w:line="200" w:lineRule="exact"/>
              <w:rPr>
                <w:rFonts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lang w:val="en-US" w:eastAsia="zh-CN"/>
              </w:rPr>
              <w:t>时限：</w:t>
            </w:r>
            <w:r>
              <w:rPr>
                <w:rFonts w:hint="eastAsia" w:cs="宋体" w:asciiTheme="minorEastAsia" w:hAnsiTheme="minorEastAsia" w:eastAsiaTheme="minorEastAsia"/>
                <w:color w:val="000000"/>
                <w:kern w:val="0"/>
                <w:sz w:val="18"/>
                <w:szCs w:val="18"/>
              </w:rPr>
              <w:t>2021年12月底前</w:t>
            </w:r>
          </w:p>
        </w:tc>
        <w:tc>
          <w:tcPr>
            <w:tcW w:w="467" w:type="pct"/>
            <w:tcBorders>
              <w:top w:val="single" w:color="auto" w:sz="4" w:space="0"/>
              <w:left w:val="nil"/>
              <w:right w:val="single" w:color="auto" w:sz="4" w:space="0"/>
            </w:tcBorders>
            <w:vAlign w:val="center"/>
          </w:tcPr>
          <w:p>
            <w:pPr>
              <w:spacing w:line="200" w:lineRule="exact"/>
              <w:rPr>
                <w:rFonts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lang w:val="en-US" w:eastAsia="zh-CN"/>
              </w:rPr>
              <w:t>金隆铜业有限公司</w:t>
            </w:r>
          </w:p>
        </w:tc>
        <w:tc>
          <w:tcPr>
            <w:tcW w:w="313" w:type="pct"/>
            <w:tcBorders>
              <w:top w:val="single" w:color="auto" w:sz="4" w:space="0"/>
              <w:left w:val="nil"/>
              <w:right w:val="single" w:color="auto" w:sz="4" w:space="0"/>
            </w:tcBorders>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文燕</w:t>
            </w:r>
          </w:p>
        </w:tc>
        <w:tc>
          <w:tcPr>
            <w:tcW w:w="234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根据《土壤隐患排查指南（试行）》等法律法规和规范性文件要求，</w:t>
            </w:r>
            <w:r>
              <w:rPr>
                <w:rFonts w:hint="eastAsia" w:cs="宋体" w:asciiTheme="minorEastAsia" w:hAnsiTheme="minorEastAsia" w:eastAsiaTheme="minorEastAsia"/>
                <w:color w:val="000000"/>
                <w:kern w:val="0"/>
                <w:sz w:val="18"/>
                <w:szCs w:val="18"/>
                <w:lang w:val="en-US" w:eastAsia="zh-CN"/>
              </w:rPr>
              <w:t>金隆公司于2021年11月份完成《金隆土壤隐患排查报告》和《金隆土壤和地下水自行监测报告》</w:t>
            </w:r>
            <w:r>
              <w:rPr>
                <w:rFonts w:hint="eastAsia" w:cs="宋体" w:asciiTheme="minorEastAsia" w:hAnsiTheme="minorEastAsia" w:eastAsiaTheme="minorEastAsia"/>
                <w:color w:val="000000"/>
                <w:kern w:val="0"/>
                <w:sz w:val="18"/>
                <w:szCs w:val="18"/>
              </w:rPr>
              <w:t>，并报送铜陵市生态环境局备案。</w:t>
            </w:r>
            <w:r>
              <w:rPr>
                <w:rFonts w:hint="eastAsia" w:cs="宋体" w:asciiTheme="minorEastAsia" w:hAnsiTheme="minorEastAsia" w:eastAsiaTheme="minorEastAsia"/>
                <w:color w:val="000000"/>
                <w:kern w:val="0"/>
                <w:sz w:val="18"/>
                <w:szCs w:val="18"/>
                <w:lang w:val="en-US" w:eastAsia="zh-CN"/>
              </w:rPr>
              <w:t>并分别在安徽省生态环境厅自行监测平台及公司外网进行信息公开。</w:t>
            </w:r>
          </w:p>
        </w:tc>
      </w:tr>
    </w:tbl>
    <w:p>
      <w:pPr>
        <w:ind w:firstLine="210" w:firstLineChars="100"/>
      </w:pPr>
    </w:p>
    <w:p>
      <w:pPr>
        <w:spacing w:line="480" w:lineRule="auto"/>
        <w:ind w:right="-210" w:rightChars="-100" w:firstLine="5040" w:firstLineChars="2400"/>
        <w:jc w:val="left"/>
        <w:rPr>
          <w:rFonts w:hint="default" w:eastAsia="宋体"/>
          <w:lang w:val="en-US" w:eastAsia="zh-CN"/>
        </w:rPr>
      </w:pPr>
      <w:r>
        <w:t>对整改若有异议，请在本信息公开</w:t>
      </w:r>
      <w:r>
        <w:rPr>
          <w:rFonts w:hint="eastAsia"/>
        </w:rPr>
        <w:t>5个工作日内</w:t>
      </w:r>
      <w:r>
        <w:t>致电：</w:t>
      </w:r>
      <w:r>
        <w:rPr>
          <w:rFonts w:hint="eastAsia"/>
        </w:rPr>
        <w:t>0562-5860123</w:t>
      </w:r>
      <w:r>
        <w:rPr>
          <w:rFonts w:hint="eastAsia"/>
          <w:lang w:val="en-US" w:eastAsia="zh-CN"/>
        </w:rPr>
        <w:t xml:space="preserve"> 0562-3868769</w:t>
      </w:r>
    </w:p>
    <w:p>
      <w:pPr>
        <w:spacing w:line="480" w:lineRule="auto"/>
        <w:ind w:right="-210" w:rightChars="-100" w:firstLine="420" w:firstLineChars="200"/>
        <w:jc w:val="left"/>
      </w:pPr>
      <w:r>
        <w:rPr>
          <w:rFonts w:hint="eastAsia"/>
        </w:rPr>
        <w:t xml:space="preserve">                                                                                                      2022年9月2</w:t>
      </w:r>
      <w:bookmarkStart w:id="0" w:name="_GoBack"/>
      <w:bookmarkEnd w:id="0"/>
      <w:r>
        <w:rPr>
          <w:rFonts w:hint="eastAsia"/>
        </w:rPr>
        <w:t>7日</w:t>
      </w:r>
    </w:p>
    <w:sectPr>
      <w:pgSz w:w="16838" w:h="11906" w:orient="landscape"/>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Y2JhZWQ2NmE4NmM5NzBlMzI4OWJkN2I5NTdkYjUifQ=="/>
  </w:docVars>
  <w:rsids>
    <w:rsidRoot w:val="007B5D82"/>
    <w:rsid w:val="00005FFE"/>
    <w:rsid w:val="000244A7"/>
    <w:rsid w:val="00030A8F"/>
    <w:rsid w:val="000448E9"/>
    <w:rsid w:val="00045122"/>
    <w:rsid w:val="00061998"/>
    <w:rsid w:val="000714E1"/>
    <w:rsid w:val="00091F12"/>
    <w:rsid w:val="000A1A7B"/>
    <w:rsid w:val="000A43E4"/>
    <w:rsid w:val="000A488A"/>
    <w:rsid w:val="000C0F17"/>
    <w:rsid w:val="000C72C9"/>
    <w:rsid w:val="000E053C"/>
    <w:rsid w:val="000E08D0"/>
    <w:rsid w:val="00100E0C"/>
    <w:rsid w:val="00102598"/>
    <w:rsid w:val="001146AB"/>
    <w:rsid w:val="00116ADB"/>
    <w:rsid w:val="00132773"/>
    <w:rsid w:val="00184B85"/>
    <w:rsid w:val="00185D3C"/>
    <w:rsid w:val="001C2555"/>
    <w:rsid w:val="001E4003"/>
    <w:rsid w:val="002025F0"/>
    <w:rsid w:val="00222EA9"/>
    <w:rsid w:val="00253986"/>
    <w:rsid w:val="00276730"/>
    <w:rsid w:val="00296B27"/>
    <w:rsid w:val="002A629A"/>
    <w:rsid w:val="002B2664"/>
    <w:rsid w:val="002F2791"/>
    <w:rsid w:val="003071B3"/>
    <w:rsid w:val="003124F5"/>
    <w:rsid w:val="003148CC"/>
    <w:rsid w:val="00331D1C"/>
    <w:rsid w:val="00342AA0"/>
    <w:rsid w:val="00347619"/>
    <w:rsid w:val="00355E1B"/>
    <w:rsid w:val="00390294"/>
    <w:rsid w:val="003B0023"/>
    <w:rsid w:val="003B5A20"/>
    <w:rsid w:val="003D21F2"/>
    <w:rsid w:val="003D3A81"/>
    <w:rsid w:val="003E53EA"/>
    <w:rsid w:val="00430F9A"/>
    <w:rsid w:val="00486E46"/>
    <w:rsid w:val="00495851"/>
    <w:rsid w:val="004A4839"/>
    <w:rsid w:val="004C5E5C"/>
    <w:rsid w:val="004E0204"/>
    <w:rsid w:val="004E601E"/>
    <w:rsid w:val="00526E70"/>
    <w:rsid w:val="0054727D"/>
    <w:rsid w:val="00590048"/>
    <w:rsid w:val="0059036E"/>
    <w:rsid w:val="005A35B1"/>
    <w:rsid w:val="005A72EF"/>
    <w:rsid w:val="005E7965"/>
    <w:rsid w:val="00600BD3"/>
    <w:rsid w:val="00602060"/>
    <w:rsid w:val="006268F3"/>
    <w:rsid w:val="006404F4"/>
    <w:rsid w:val="006E4398"/>
    <w:rsid w:val="00716AAB"/>
    <w:rsid w:val="00721EAC"/>
    <w:rsid w:val="00725C1A"/>
    <w:rsid w:val="00733A95"/>
    <w:rsid w:val="00737D66"/>
    <w:rsid w:val="007609D5"/>
    <w:rsid w:val="0076279C"/>
    <w:rsid w:val="00765012"/>
    <w:rsid w:val="00783B57"/>
    <w:rsid w:val="007A0510"/>
    <w:rsid w:val="007A212C"/>
    <w:rsid w:val="007B4D6A"/>
    <w:rsid w:val="007B5D82"/>
    <w:rsid w:val="007B79C2"/>
    <w:rsid w:val="007E5F2B"/>
    <w:rsid w:val="00801CB7"/>
    <w:rsid w:val="0083320F"/>
    <w:rsid w:val="00836556"/>
    <w:rsid w:val="008478D5"/>
    <w:rsid w:val="00851510"/>
    <w:rsid w:val="0085473B"/>
    <w:rsid w:val="00857C56"/>
    <w:rsid w:val="008711DB"/>
    <w:rsid w:val="00875B25"/>
    <w:rsid w:val="00880276"/>
    <w:rsid w:val="00905E8A"/>
    <w:rsid w:val="0093767A"/>
    <w:rsid w:val="009637EC"/>
    <w:rsid w:val="00987A4A"/>
    <w:rsid w:val="009909BE"/>
    <w:rsid w:val="009A505F"/>
    <w:rsid w:val="009D328A"/>
    <w:rsid w:val="009F1B26"/>
    <w:rsid w:val="00A21025"/>
    <w:rsid w:val="00A6259A"/>
    <w:rsid w:val="00A853DB"/>
    <w:rsid w:val="00A968AB"/>
    <w:rsid w:val="00AC2645"/>
    <w:rsid w:val="00AD6AA2"/>
    <w:rsid w:val="00AE19C9"/>
    <w:rsid w:val="00AF11F4"/>
    <w:rsid w:val="00AF4897"/>
    <w:rsid w:val="00B2466A"/>
    <w:rsid w:val="00B34502"/>
    <w:rsid w:val="00B54BBC"/>
    <w:rsid w:val="00BD39C0"/>
    <w:rsid w:val="00BF0F56"/>
    <w:rsid w:val="00C008EE"/>
    <w:rsid w:val="00C02483"/>
    <w:rsid w:val="00C10C7D"/>
    <w:rsid w:val="00C22E6C"/>
    <w:rsid w:val="00C3699E"/>
    <w:rsid w:val="00C4163D"/>
    <w:rsid w:val="00C45407"/>
    <w:rsid w:val="00C820C8"/>
    <w:rsid w:val="00C96457"/>
    <w:rsid w:val="00CC2FE6"/>
    <w:rsid w:val="00CC46F9"/>
    <w:rsid w:val="00CC5651"/>
    <w:rsid w:val="00CD666E"/>
    <w:rsid w:val="00CF0391"/>
    <w:rsid w:val="00D06BD0"/>
    <w:rsid w:val="00D36E21"/>
    <w:rsid w:val="00D46AEE"/>
    <w:rsid w:val="00D54A5F"/>
    <w:rsid w:val="00D6100A"/>
    <w:rsid w:val="00D74497"/>
    <w:rsid w:val="00D83BD0"/>
    <w:rsid w:val="00DB43F6"/>
    <w:rsid w:val="00DE5B92"/>
    <w:rsid w:val="00DF4581"/>
    <w:rsid w:val="00DF5BCD"/>
    <w:rsid w:val="00E30727"/>
    <w:rsid w:val="00E568A3"/>
    <w:rsid w:val="00E578E6"/>
    <w:rsid w:val="00E608B2"/>
    <w:rsid w:val="00E81225"/>
    <w:rsid w:val="00E921A0"/>
    <w:rsid w:val="00ED0822"/>
    <w:rsid w:val="00EF77FE"/>
    <w:rsid w:val="00F21324"/>
    <w:rsid w:val="00F30D22"/>
    <w:rsid w:val="00F477F1"/>
    <w:rsid w:val="00F503B8"/>
    <w:rsid w:val="00F60A06"/>
    <w:rsid w:val="00F81EFF"/>
    <w:rsid w:val="00F90696"/>
    <w:rsid w:val="00FA4B47"/>
    <w:rsid w:val="00FC3594"/>
    <w:rsid w:val="00FD3E82"/>
    <w:rsid w:val="00FD63B3"/>
    <w:rsid w:val="00FE3E81"/>
    <w:rsid w:val="00FF0885"/>
    <w:rsid w:val="042024B4"/>
    <w:rsid w:val="057129D3"/>
    <w:rsid w:val="058D5910"/>
    <w:rsid w:val="0654140E"/>
    <w:rsid w:val="07B56977"/>
    <w:rsid w:val="0C67100E"/>
    <w:rsid w:val="0FBD7A96"/>
    <w:rsid w:val="10DF7048"/>
    <w:rsid w:val="13B2456C"/>
    <w:rsid w:val="1E1112B7"/>
    <w:rsid w:val="200615C8"/>
    <w:rsid w:val="22AF1740"/>
    <w:rsid w:val="23F05365"/>
    <w:rsid w:val="2C874139"/>
    <w:rsid w:val="2E1F026B"/>
    <w:rsid w:val="2F33131D"/>
    <w:rsid w:val="2FC5036A"/>
    <w:rsid w:val="30367BE5"/>
    <w:rsid w:val="36EE77CC"/>
    <w:rsid w:val="3BD061E8"/>
    <w:rsid w:val="3C4B1B2C"/>
    <w:rsid w:val="41130F85"/>
    <w:rsid w:val="44BA752F"/>
    <w:rsid w:val="4D5F2D35"/>
    <w:rsid w:val="4FEB47AE"/>
    <w:rsid w:val="5BBE2962"/>
    <w:rsid w:val="5F3E36C6"/>
    <w:rsid w:val="6334313F"/>
    <w:rsid w:val="6448541D"/>
    <w:rsid w:val="6B6F76EF"/>
    <w:rsid w:val="6C324B32"/>
    <w:rsid w:val="730D38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semiHidden/>
    <w:qFormat/>
    <w:uiPriority w:val="99"/>
    <w:pPr>
      <w:spacing w:after="120"/>
      <w:ind w:left="420" w:leftChars="200"/>
    </w:pPr>
  </w:style>
  <w:style w:type="paragraph" w:styleId="3">
    <w:name w:val="Balloon Text"/>
    <w:basedOn w:val="1"/>
    <w:link w:val="10"/>
    <w:semiHidden/>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link w:val="11"/>
    <w:qFormat/>
    <w:uiPriority w:val="99"/>
    <w:pPr>
      <w:spacing w:after="0"/>
      <w:ind w:firstLine="420" w:firstLineChars="200"/>
    </w:pPr>
    <w:rPr>
      <w:szCs w:val="24"/>
    </w:rPr>
  </w:style>
  <w:style w:type="character" w:customStyle="1" w:styleId="9">
    <w:name w:val="正文文本缩进 Char"/>
    <w:basedOn w:val="8"/>
    <w:link w:val="2"/>
    <w:semiHidden/>
    <w:qFormat/>
    <w:locked/>
    <w:uiPriority w:val="99"/>
    <w:rPr>
      <w:rFonts w:cs="Times New Roman"/>
      <w:kern w:val="2"/>
      <w:sz w:val="22"/>
      <w:szCs w:val="22"/>
    </w:rPr>
  </w:style>
  <w:style w:type="character" w:customStyle="1" w:styleId="10">
    <w:name w:val="批注框文本 Char"/>
    <w:basedOn w:val="8"/>
    <w:link w:val="3"/>
    <w:semiHidden/>
    <w:qFormat/>
    <w:locked/>
    <w:uiPriority w:val="99"/>
    <w:rPr>
      <w:rFonts w:cs="Times New Roman"/>
      <w:kern w:val="2"/>
      <w:sz w:val="18"/>
      <w:szCs w:val="18"/>
    </w:rPr>
  </w:style>
  <w:style w:type="character" w:customStyle="1" w:styleId="11">
    <w:name w:val="正文首行缩进 2 Char"/>
    <w:basedOn w:val="9"/>
    <w:link w:val="6"/>
    <w:qFormat/>
    <w:locked/>
    <w:uiPriority w:val="99"/>
    <w:rPr>
      <w:sz w:val="24"/>
      <w:szCs w:val="24"/>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BD502-44A7-4DA1-B0D6-96E0F65BB1A9}">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1098</Words>
  <Characters>1166</Characters>
  <Lines>9</Lines>
  <Paragraphs>2</Paragraphs>
  <TotalTime>3</TotalTime>
  <ScaleCrop>false</ScaleCrop>
  <LinksUpToDate>false</LinksUpToDate>
  <CharactersWithSpaces>1274</CharactersWithSpaces>
  <Application>WPS Office_11.1.0.12358_F1E327BC-269C-435d-A152-05C5408002CA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2022-09-27T07:42:00Z</dcterms:created>
  <dc:creator>Windows 用户</dc:creator>
  <cp:lastModifiedBy>深，』倾</cp:lastModifiedBy>
  <cp:lastPrinted>2021-07-08T08:55:00Z</cp:lastPrinted>
  <dcterms:modified xsi:type="dcterms:W3CDTF">2022-09-27T08:49:43Z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E04A1A53147946B09FC0F56A8245E1E8</vt:lpwstr>
  </property>
</Properties>
</file>